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B02E1" w14:textId="36CE0D0E" w:rsidR="00B90BF6" w:rsidRPr="00B90BF6" w:rsidRDefault="00B90BF6" w:rsidP="00B90BF6">
      <w:pPr>
        <w:jc w:val="center"/>
        <w:rPr>
          <w:b/>
          <w:bCs/>
          <w:color w:val="1F3864" w:themeColor="accent1" w:themeShade="80"/>
          <w:sz w:val="24"/>
          <w:szCs w:val="24"/>
          <w:lang w:val="ru-RU"/>
        </w:rPr>
      </w:pPr>
      <w:r w:rsidRPr="00B90BF6">
        <w:rPr>
          <w:b/>
          <w:bCs/>
          <w:color w:val="1F3864" w:themeColor="accent1" w:themeShade="80"/>
          <w:sz w:val="24"/>
          <w:szCs w:val="24"/>
          <w:lang w:val="ru-RU"/>
        </w:rPr>
        <w:t>Речь Председателя КСР на Заседании Национального совета по развитию при Президенте Республики Таджикистан, 10 июня 2024 г.</w:t>
      </w:r>
    </w:p>
    <w:p w14:paraId="3F8A7A2F" w14:textId="77777777" w:rsidR="00B90BF6" w:rsidRPr="00B90BF6" w:rsidRDefault="00B90BF6" w:rsidP="00CB5378">
      <w:pPr>
        <w:ind w:firstLine="720"/>
        <w:jc w:val="both"/>
        <w:rPr>
          <w:sz w:val="24"/>
          <w:szCs w:val="24"/>
          <w:lang w:val="ru-RU"/>
        </w:rPr>
      </w:pPr>
      <w:r w:rsidRPr="00B90BF6">
        <w:rPr>
          <w:sz w:val="24"/>
          <w:szCs w:val="24"/>
          <w:lang w:val="ru-RU"/>
        </w:rPr>
        <w:t>Ваше превосходительство, уважаемый Президент Республики Таджикистан, руководители министерств и ведомств, уважаемые руководители международных финансовых организаций, партнеры по развитию, представители частного сектора и члены организаций гражданского общества.</w:t>
      </w:r>
    </w:p>
    <w:p w14:paraId="3E7E2E12" w14:textId="77777777" w:rsidR="00B90BF6" w:rsidRPr="00B90BF6" w:rsidRDefault="00B90BF6" w:rsidP="00CB5378">
      <w:pPr>
        <w:ind w:firstLine="720"/>
        <w:jc w:val="both"/>
        <w:rPr>
          <w:sz w:val="24"/>
          <w:szCs w:val="24"/>
          <w:lang w:val="ru-RU"/>
        </w:rPr>
      </w:pPr>
      <w:r w:rsidRPr="00B90BF6">
        <w:rPr>
          <w:sz w:val="24"/>
          <w:szCs w:val="24"/>
          <w:lang w:val="ru-RU"/>
        </w:rPr>
        <w:t>Для меня большая честь выступать перед данной аудиторией от имени Координационного совета развития (КСР). КСР играет ключевую роль в мобилизации партнеров по развитию для оказания поддержки реализации Национальной стратегии развития Республики Таджикистан на период до 2030 года.</w:t>
      </w:r>
    </w:p>
    <w:p w14:paraId="09BA4FF2" w14:textId="77777777" w:rsidR="00B90BF6" w:rsidRPr="00B90BF6" w:rsidRDefault="00B90BF6" w:rsidP="00CB5378">
      <w:pPr>
        <w:ind w:firstLine="720"/>
        <w:jc w:val="both"/>
        <w:rPr>
          <w:sz w:val="24"/>
          <w:szCs w:val="24"/>
          <w:lang w:val="ru-RU"/>
        </w:rPr>
      </w:pPr>
      <w:r w:rsidRPr="00B90BF6">
        <w:rPr>
          <w:sz w:val="24"/>
          <w:szCs w:val="24"/>
          <w:lang w:val="ru-RU"/>
        </w:rPr>
        <w:t>Восемь лет назад (в 2016 г.), Правительство страны приняло Национальную стратегию развития на период до 2030 года. Данная стратегия направлена на переход страны на новую модель роста на основе частных инвестиций, экспорта и производительности для достижения устойчивого роста доходов. Ввиду того, что мы уже достигли середины пути в направлении реализации Стратегии, настало время посмотреть на достижения и оставшиеся цели и задачи. Мой вывод на данном этапе такой: Страна достигла многого, но нам следует быть более решительными и амбициозными в отношении наших действий, чтобы обеспечить возможность ускорения движения экономики Таджикистана в направлении новой модели роста.</w:t>
      </w:r>
    </w:p>
    <w:p w14:paraId="4B999D80" w14:textId="5400F6D4" w:rsidR="00B90BF6" w:rsidRPr="00B90BF6" w:rsidRDefault="00B90BF6" w:rsidP="00CB5378">
      <w:pPr>
        <w:ind w:firstLine="720"/>
        <w:jc w:val="both"/>
        <w:rPr>
          <w:sz w:val="24"/>
          <w:szCs w:val="24"/>
          <w:lang w:val="ru-RU"/>
        </w:rPr>
      </w:pPr>
      <w:r w:rsidRPr="00B90BF6">
        <w:rPr>
          <w:sz w:val="24"/>
          <w:szCs w:val="24"/>
          <w:lang w:val="ru-RU"/>
        </w:rPr>
        <w:t>В течение прошедших двух десятилетий, на фоне экономического роста и повышения доходов домохозяйств за счет денежных переводов, ВНД  увеличился в девять раз – со 160,00 долларов</w:t>
      </w:r>
      <w:r w:rsidR="005F10C2" w:rsidRPr="004F4245">
        <w:rPr>
          <w:sz w:val="24"/>
          <w:szCs w:val="24"/>
          <w:lang w:val="ru-RU"/>
        </w:rPr>
        <w:t xml:space="preserve"> </w:t>
      </w:r>
      <w:r w:rsidR="005F10C2">
        <w:rPr>
          <w:sz w:val="24"/>
          <w:szCs w:val="24"/>
          <w:lang w:val="ru-RU"/>
        </w:rPr>
        <w:t>США</w:t>
      </w:r>
      <w:r w:rsidRPr="00B90BF6">
        <w:rPr>
          <w:sz w:val="24"/>
          <w:szCs w:val="24"/>
          <w:lang w:val="ru-RU"/>
        </w:rPr>
        <w:t xml:space="preserve"> в 2001 году до 1 440,00 долларов</w:t>
      </w:r>
      <w:r w:rsidR="005F10C2">
        <w:rPr>
          <w:sz w:val="24"/>
          <w:szCs w:val="24"/>
          <w:lang w:val="ru-RU"/>
        </w:rPr>
        <w:t xml:space="preserve"> США</w:t>
      </w:r>
      <w:r w:rsidRPr="00B90BF6">
        <w:rPr>
          <w:sz w:val="24"/>
          <w:szCs w:val="24"/>
          <w:lang w:val="ru-RU"/>
        </w:rPr>
        <w:t xml:space="preserve"> в 2023 году, что способствовало быстрому сокращению бедности. Уровень бедности, в измерении на основе международной черты бедности в 3,65 долларов </w:t>
      </w:r>
      <w:r w:rsidR="00AF237F">
        <w:rPr>
          <w:sz w:val="24"/>
          <w:szCs w:val="24"/>
          <w:lang w:val="ru-RU"/>
        </w:rPr>
        <w:t xml:space="preserve">США </w:t>
      </w:r>
      <w:r w:rsidRPr="00B90BF6">
        <w:rPr>
          <w:sz w:val="24"/>
          <w:szCs w:val="24"/>
          <w:lang w:val="ru-RU"/>
        </w:rPr>
        <w:t>в день для стран с низким средним уровнем доходов, снизился с более 90 процентов в 1999 году до расчетного уровня в 13,5 процентов в 2023 году.</w:t>
      </w:r>
    </w:p>
    <w:p w14:paraId="21940433" w14:textId="2395C914" w:rsidR="00B90BF6" w:rsidRPr="00B90BF6" w:rsidRDefault="00B90BF6" w:rsidP="00CB5378">
      <w:pPr>
        <w:ind w:firstLine="720"/>
        <w:jc w:val="both"/>
        <w:rPr>
          <w:sz w:val="24"/>
          <w:szCs w:val="24"/>
          <w:lang w:val="ru-RU"/>
        </w:rPr>
      </w:pPr>
      <w:r w:rsidRPr="00B90BF6">
        <w:rPr>
          <w:sz w:val="24"/>
          <w:szCs w:val="24"/>
          <w:lang w:val="ru-RU"/>
        </w:rPr>
        <w:t xml:space="preserve">Достигнут ощутимый прогресс в рамках таких ключевых социально-экономических секторов, как развитие инфраструктуры, здравоохранение и образование. В течение последних двух десятилетий, доля детей с задержками роста в возрасте до 5 лет сократилась вдвое с более 40 процентов до менее 20 процентов; ожидаемый срок жизни увеличился на около 10 лет до среднего уровня в 71 год, а поступление на высшее образование почти удвоилось в течение последних 10 лет – с 16 процентов до около 32 процентов. Это значительные достижения и заслуживают должного признания. </w:t>
      </w:r>
    </w:p>
    <w:p w14:paraId="4671CCAD" w14:textId="3C61F9A8" w:rsidR="00B90BF6" w:rsidRPr="00B90BF6" w:rsidRDefault="00B90BF6" w:rsidP="00CB5378">
      <w:pPr>
        <w:ind w:firstLine="720"/>
        <w:jc w:val="both"/>
        <w:rPr>
          <w:sz w:val="24"/>
          <w:szCs w:val="24"/>
          <w:lang w:val="ru-RU"/>
        </w:rPr>
      </w:pPr>
      <w:r w:rsidRPr="004F4245">
        <w:rPr>
          <w:i/>
          <w:iCs/>
          <w:sz w:val="24"/>
          <w:szCs w:val="24"/>
          <w:u w:val="single"/>
          <w:lang w:val="ru-RU"/>
        </w:rPr>
        <w:t>Но то, что привело нас сюда, не приведет нас туда!</w:t>
      </w:r>
      <w:r w:rsidRPr="00B90BF6">
        <w:rPr>
          <w:sz w:val="24"/>
          <w:szCs w:val="24"/>
          <w:lang w:val="ru-RU"/>
        </w:rPr>
        <w:t xml:space="preserve"> НСР, на самом деле, является амбициозным – и достижение ее целей требует от нас принятия таких же амбициозных и решительных мер политики. Позвольте предложить вашему вниманию простые расчеты того, почему я уверен в том, что нам нужно быть более решительными в рамках мер политики, реформ и инвестиций. По расчетам Всемирного банка и МВФ , долгосрочный </w:t>
      </w:r>
      <w:r w:rsidRPr="00B90BF6">
        <w:rPr>
          <w:sz w:val="24"/>
          <w:szCs w:val="24"/>
          <w:lang w:val="ru-RU"/>
        </w:rPr>
        <w:lastRenderedPageBreak/>
        <w:t>потенциальный рост ВВП Таджикистана будет составлять 4,5 процента. С учетом текущего ежегодного роста населения на уровне 2 процентов, это означает, что чистый ежегодный прирост ВВП на душу населения составит лишь 2,5 процента. При таком прогнозируемом уровне роста, Республика Таджикистан достигнет уровня ВНД на душу населения на уровне стран с высоким средним уровнем доходов в 4 500,00 долларов</w:t>
      </w:r>
      <w:r w:rsidR="005F2A63" w:rsidRPr="005F2A63">
        <w:rPr>
          <w:sz w:val="24"/>
          <w:szCs w:val="24"/>
          <w:lang w:val="ru-RU"/>
        </w:rPr>
        <w:t xml:space="preserve"> </w:t>
      </w:r>
      <w:r w:rsidR="005F2A63">
        <w:rPr>
          <w:sz w:val="24"/>
          <w:szCs w:val="24"/>
          <w:lang w:val="ru-RU"/>
        </w:rPr>
        <w:t>США</w:t>
      </w:r>
      <w:r w:rsidRPr="00B90BF6">
        <w:rPr>
          <w:sz w:val="24"/>
          <w:szCs w:val="24"/>
          <w:lang w:val="ru-RU"/>
        </w:rPr>
        <w:t xml:space="preserve"> к 2060 году, при условии, что все остальные параметры останутся неизменными. Таким образом, устойчивый уровень роста в 4,5% является недостаточным – если мы хотим достичь высокого среднего уровня доходов к 2050 году, нам требуется достичь темпов роста в 5,3%; и не менее 7% для достижения высокого среднего уровня доходов до 2045 года, а для того, чтобы Республика Таджикистан стала страной со средним уровнем доходов к 2040 году, как предусмотрено в НСР, требуется уровень роста в 8,5%. </w:t>
      </w:r>
    </w:p>
    <w:p w14:paraId="16C5F2E0" w14:textId="4FB6D2C7" w:rsidR="00B90BF6" w:rsidRPr="00B90BF6" w:rsidRDefault="00B90BF6" w:rsidP="00CB5378">
      <w:pPr>
        <w:ind w:firstLine="720"/>
        <w:jc w:val="both"/>
        <w:rPr>
          <w:sz w:val="24"/>
          <w:szCs w:val="24"/>
          <w:lang w:val="ru-RU"/>
        </w:rPr>
      </w:pPr>
      <w:r w:rsidRPr="00B90BF6">
        <w:rPr>
          <w:sz w:val="24"/>
          <w:szCs w:val="24"/>
          <w:lang w:val="ru-RU"/>
        </w:rPr>
        <w:t xml:space="preserve">Следует повторить, </w:t>
      </w:r>
      <w:r w:rsidRPr="00090595">
        <w:rPr>
          <w:i/>
          <w:iCs/>
          <w:sz w:val="24"/>
          <w:szCs w:val="24"/>
          <w:u w:val="single"/>
          <w:lang w:val="ru-RU"/>
        </w:rPr>
        <w:t xml:space="preserve">что привело нас </w:t>
      </w:r>
      <w:r w:rsidR="00090595">
        <w:rPr>
          <w:i/>
          <w:iCs/>
          <w:sz w:val="24"/>
          <w:szCs w:val="24"/>
          <w:u w:val="single"/>
          <w:lang w:val="ru-RU"/>
        </w:rPr>
        <w:t>сю</w:t>
      </w:r>
      <w:r w:rsidRPr="00090595">
        <w:rPr>
          <w:i/>
          <w:iCs/>
          <w:sz w:val="24"/>
          <w:szCs w:val="24"/>
          <w:u w:val="single"/>
          <w:lang w:val="ru-RU"/>
        </w:rPr>
        <w:t>да, не приведет нас туда</w:t>
      </w:r>
      <w:r w:rsidRPr="00B90BF6">
        <w:rPr>
          <w:sz w:val="24"/>
          <w:szCs w:val="24"/>
          <w:lang w:val="ru-RU"/>
        </w:rPr>
        <w:t xml:space="preserve">. С целью достижения целей развития страны, Правительство должно применить амбициозный подход к реализации углубленных структурных реформ, которые должны быть направлены на дальнейшее открытие экономики для конкуренции частного сектора с целью устранения недостатков цифровой и физической связанности, укрепления институтов страны для совершенствования предоставления государственных услуг, повышения качества человеческого капитала для совершенствования продуктивной занятости и обеспечения экологически-устойчивого развития—в том числе, посредством выработки и поставок чистой электроэнергии, чтобы оставить будущим поколениям процветающую и жизнеспособную страну. </w:t>
      </w:r>
    </w:p>
    <w:p w14:paraId="43032FAD" w14:textId="77777777" w:rsidR="00B90BF6" w:rsidRPr="00B90BF6" w:rsidRDefault="00B90BF6" w:rsidP="00CB5378">
      <w:pPr>
        <w:ind w:firstLine="720"/>
        <w:jc w:val="both"/>
        <w:rPr>
          <w:sz w:val="24"/>
          <w:szCs w:val="24"/>
          <w:lang w:val="ru-RU"/>
        </w:rPr>
      </w:pPr>
      <w:r w:rsidRPr="00690769">
        <w:rPr>
          <w:b/>
          <w:bCs/>
          <w:sz w:val="24"/>
          <w:szCs w:val="24"/>
          <w:lang w:val="ru-RU"/>
        </w:rPr>
        <w:t>От углеродоемкой к «зеленой» экономике:</w:t>
      </w:r>
      <w:r w:rsidRPr="00B90BF6">
        <w:rPr>
          <w:sz w:val="24"/>
          <w:szCs w:val="24"/>
          <w:lang w:val="ru-RU"/>
        </w:rPr>
        <w:t xml:space="preserve"> Республика Таджикистан является страной с большой долей сельского населения, которое зависит от орошаемого сельского хозяйства. Горный рельеф страны является очень уязвимым к изменениям климата и рискам стихийных бедствий. Республика Таджикистан занимает 98-е место среди 185 стран по индексу Глобальной адаптационной инициативы Нотр-Дам (</w:t>
      </w:r>
      <w:r w:rsidRPr="00B90BF6">
        <w:rPr>
          <w:sz w:val="24"/>
          <w:szCs w:val="24"/>
        </w:rPr>
        <w:t>ND</w:t>
      </w:r>
      <w:r w:rsidRPr="00B90BF6">
        <w:rPr>
          <w:sz w:val="24"/>
          <w:szCs w:val="24"/>
          <w:lang w:val="ru-RU"/>
        </w:rPr>
        <w:t>-</w:t>
      </w:r>
      <w:r w:rsidRPr="00B90BF6">
        <w:rPr>
          <w:sz w:val="24"/>
          <w:szCs w:val="24"/>
        </w:rPr>
        <w:t>GAIN</w:t>
      </w:r>
      <w:r w:rsidRPr="00B90BF6">
        <w:rPr>
          <w:sz w:val="24"/>
          <w:szCs w:val="24"/>
          <w:lang w:val="ru-RU"/>
        </w:rPr>
        <w:t>), что указывает на высокий уровень уязвимости к изменениям климата, усугубленной неустойчивым использованием своего природного капитала Республикой Таджикистан, оказывая воздействие на инфраструктуру. Около 50 процентов земель в Республике Таджикистан подвержена тенденции к деградации. Изменение климата ведет к таянию ледников и ставит под угрозу водные ресурсы, выработку электроэнергии, ирригационный потенциал и продовольственную безопасность страны. Несмотря на то, что Республика Таджикистан не вносит значительный вклад в выбросы парниковых газов, углеродная емкость экономики остается на высоком уровне. Признавая эти вызовы, Партнеры по развитию координируют поддержку Республике Таджикистан в направлении «озеленения» своей экономики и наращивания устойчивости с принятием Стратегии развития зеленой экономики на 2023 – 2037 годы.</w:t>
      </w:r>
    </w:p>
    <w:p w14:paraId="6C48D171" w14:textId="77777777" w:rsidR="00B90BF6" w:rsidRPr="00B90BF6" w:rsidRDefault="00B90BF6" w:rsidP="00CB5378">
      <w:pPr>
        <w:ind w:firstLine="720"/>
        <w:jc w:val="both"/>
        <w:rPr>
          <w:sz w:val="24"/>
          <w:szCs w:val="24"/>
          <w:lang w:val="ru-RU"/>
        </w:rPr>
      </w:pPr>
      <w:r w:rsidRPr="00B90BF6">
        <w:rPr>
          <w:sz w:val="24"/>
          <w:szCs w:val="24"/>
          <w:lang w:val="ru-RU"/>
        </w:rPr>
        <w:t xml:space="preserve">К примеру, Республика Таджикистан обладает потенциалом для перехода к зеленой экономике путем наращивания таких источников чистой энергии, как гидро, солнечная, </w:t>
      </w:r>
      <w:r w:rsidRPr="00B90BF6">
        <w:rPr>
          <w:sz w:val="24"/>
          <w:szCs w:val="24"/>
          <w:lang w:val="ru-RU"/>
        </w:rPr>
        <w:lastRenderedPageBreak/>
        <w:t>геотермальная и ветряная энергетика. Завершение строительства Рогунской гидроэлектростанции имеет решающее значения для отечественных поставок чистой энергии, снижая потребность в импорте энергии и сопутствующих выбросов. В соответствии с ожиданиями, проект также создаст условия для экспорта электроэнергии в соседние страны, оказывая содействие в снижении зависимости от ископаемого топлива и снижая углеродные выбросы на региональном уровне. Некоторые критические шаги для достижения снижения углеродных выбросов и обеспечения перехода на «зеленую» экономику включают:</w:t>
      </w:r>
    </w:p>
    <w:p w14:paraId="4097D4D6" w14:textId="7E71E53E" w:rsidR="00B90BF6" w:rsidRPr="00D432D8" w:rsidRDefault="00B90BF6" w:rsidP="00D432D8">
      <w:pPr>
        <w:pStyle w:val="ListParagraph"/>
        <w:numPr>
          <w:ilvl w:val="0"/>
          <w:numId w:val="2"/>
        </w:numPr>
        <w:jc w:val="both"/>
        <w:rPr>
          <w:sz w:val="24"/>
          <w:szCs w:val="24"/>
          <w:lang w:val="ru-RU"/>
        </w:rPr>
      </w:pPr>
      <w:r w:rsidRPr="00D432D8">
        <w:rPr>
          <w:sz w:val="24"/>
          <w:szCs w:val="24"/>
          <w:lang w:val="ru-RU"/>
        </w:rPr>
        <w:t xml:space="preserve">Определение правильных мер ценового стимулирования для низко-углеродного развития и наращивания устойчивости. Это подразумевает реализацию реформы энергетических тарифов для обеспечения финансовой состоятельности энергетического сектора и, в будущем, привлечения частного капитала в гидроэнергетические, геотермальные и солнечные проекты. </w:t>
      </w:r>
    </w:p>
    <w:p w14:paraId="1BCCE817" w14:textId="647A6973" w:rsidR="00B90BF6" w:rsidRPr="00D432D8" w:rsidRDefault="00B90BF6" w:rsidP="00D432D8">
      <w:pPr>
        <w:pStyle w:val="ListParagraph"/>
        <w:numPr>
          <w:ilvl w:val="0"/>
          <w:numId w:val="2"/>
        </w:numPr>
        <w:jc w:val="both"/>
        <w:rPr>
          <w:sz w:val="24"/>
          <w:szCs w:val="24"/>
          <w:lang w:val="ru-RU"/>
        </w:rPr>
      </w:pPr>
      <w:r w:rsidRPr="00D432D8">
        <w:rPr>
          <w:sz w:val="24"/>
          <w:szCs w:val="24"/>
          <w:lang w:val="ru-RU"/>
        </w:rPr>
        <w:t>Внедрение постепенного увеличения акцизных сборов от ископаемого топлива и углеродоемких технологий, которые могут не только сократить выбросы, формировать фискальные доходы, но также поддерживают «зеленые» государственные инвестиции и способствуют таким совместным выгодам, как сокращение загрязнения воздуха и улучшение общественного здоровья. Более того, эти ресурсы могут использоваться для компенсации уязвимых домохозяйств за потерю дохода в результате отрицательного воздействия изменения климата и повышенных углеродных расходов.</w:t>
      </w:r>
    </w:p>
    <w:p w14:paraId="1EF085BC" w14:textId="69E78304" w:rsidR="00B90BF6" w:rsidRPr="00D432D8" w:rsidRDefault="00B90BF6" w:rsidP="00D432D8">
      <w:pPr>
        <w:pStyle w:val="ListParagraph"/>
        <w:numPr>
          <w:ilvl w:val="0"/>
          <w:numId w:val="2"/>
        </w:numPr>
        <w:jc w:val="both"/>
        <w:rPr>
          <w:sz w:val="24"/>
          <w:szCs w:val="24"/>
          <w:lang w:val="ru-RU"/>
        </w:rPr>
      </w:pPr>
      <w:r w:rsidRPr="00D432D8">
        <w:rPr>
          <w:sz w:val="24"/>
          <w:szCs w:val="24"/>
          <w:lang w:val="ru-RU"/>
        </w:rPr>
        <w:t xml:space="preserve">Достижение </w:t>
      </w:r>
      <w:r w:rsidRPr="00C915D8">
        <w:rPr>
          <w:sz w:val="24"/>
          <w:szCs w:val="24"/>
          <w:u w:val="single"/>
          <w:lang w:val="ru-RU"/>
        </w:rPr>
        <w:t>значительного совершенствования в направлении инвестиционной и деловой среды</w:t>
      </w:r>
      <w:r w:rsidRPr="00D432D8">
        <w:rPr>
          <w:sz w:val="24"/>
          <w:szCs w:val="24"/>
          <w:lang w:val="ru-RU"/>
        </w:rPr>
        <w:t xml:space="preserve"> при поддержке таксономии и соответствующих практик раскрытия информации и управления рисками с целью привлечения частного капитала для проектов возобновляемой энергии и адаптации. </w:t>
      </w:r>
    </w:p>
    <w:p w14:paraId="0C474CCD" w14:textId="77777777" w:rsidR="00B90BF6" w:rsidRPr="00B90BF6" w:rsidRDefault="00B90BF6" w:rsidP="00CB5378">
      <w:pPr>
        <w:ind w:firstLine="720"/>
        <w:jc w:val="both"/>
        <w:rPr>
          <w:sz w:val="24"/>
          <w:szCs w:val="24"/>
          <w:lang w:val="ru-RU"/>
        </w:rPr>
      </w:pPr>
      <w:r w:rsidRPr="00B90BF6">
        <w:rPr>
          <w:sz w:val="24"/>
          <w:szCs w:val="24"/>
          <w:lang w:val="ru-RU"/>
        </w:rPr>
        <w:t>Устойчивая геологическая разведка редкоземельных металлов может стать новым двигателем экономического роста и привлечь иностранные инвестиции. Республика Таджикистан может воспользоваться возможностями, которые предлагает переход на «зеленую» энергию, включая увеличение экспорта экологичных товаров, продвижение «зеленых» технологий, снижение зависимости от импорта топлива и создание возможностей «зеленой» занятости в новых отраслях промышленности. Нам также следует повысить акцент на срочных мерах адаптации и наращивания устойчивости в таких уязвимых отраслях, как восстановление ландшафтов, климатически-оптимизированное сельское хозяйство, совершенствование механизмов социальной защиты и обеспечения устойчивой связанности. Эти усилия согласованы со Стратегией зеленой экономики и направлены на обеспечение экономического роста при повышении стандартов благополучия населения.</w:t>
      </w:r>
    </w:p>
    <w:p w14:paraId="2659FD3C" w14:textId="77777777" w:rsidR="00B90BF6" w:rsidRPr="003041C0" w:rsidRDefault="00B90BF6" w:rsidP="0021376F">
      <w:pPr>
        <w:ind w:firstLine="720"/>
        <w:jc w:val="both"/>
        <w:rPr>
          <w:b/>
          <w:bCs/>
          <w:sz w:val="24"/>
          <w:szCs w:val="24"/>
          <w:lang w:val="ru-RU"/>
        </w:rPr>
      </w:pPr>
      <w:r w:rsidRPr="003041C0">
        <w:rPr>
          <w:b/>
          <w:bCs/>
          <w:sz w:val="24"/>
          <w:szCs w:val="24"/>
          <w:lang w:val="ru-RU"/>
        </w:rPr>
        <w:t xml:space="preserve">От страны без выхода к морским портам к стране с цифровыми, воздушными и наземными путями сообщения --- </w:t>
      </w:r>
    </w:p>
    <w:p w14:paraId="6554B971" w14:textId="3BE520B6" w:rsidR="00B90BF6" w:rsidRPr="00B90BF6" w:rsidRDefault="00B90BF6" w:rsidP="007153BF">
      <w:pPr>
        <w:ind w:firstLine="720"/>
        <w:jc w:val="both"/>
        <w:rPr>
          <w:sz w:val="24"/>
          <w:szCs w:val="24"/>
          <w:lang w:val="ru-RU"/>
        </w:rPr>
      </w:pPr>
      <w:r w:rsidRPr="003C0BE9">
        <w:rPr>
          <w:b/>
          <w:bCs/>
          <w:sz w:val="24"/>
          <w:szCs w:val="24"/>
          <w:lang w:val="ru-RU"/>
        </w:rPr>
        <w:lastRenderedPageBreak/>
        <w:t>От страны с цифровым тупиком к Таджикистану с цифровыми путями сообщений:</w:t>
      </w:r>
      <w:r w:rsidRPr="00B90BF6">
        <w:rPr>
          <w:sz w:val="24"/>
          <w:szCs w:val="24"/>
          <w:lang w:val="ru-RU"/>
        </w:rPr>
        <w:t xml:space="preserve"> В </w:t>
      </w:r>
      <w:r w:rsidR="0095151B">
        <w:rPr>
          <w:sz w:val="24"/>
          <w:szCs w:val="24"/>
          <w:lang w:val="ru-RU"/>
        </w:rPr>
        <w:t>цифровой сфере</w:t>
      </w:r>
      <w:r w:rsidRPr="00B90BF6">
        <w:rPr>
          <w:sz w:val="24"/>
          <w:szCs w:val="24"/>
          <w:lang w:val="ru-RU"/>
        </w:rPr>
        <w:t xml:space="preserve">, мы наблюдаем огромный потенциал Таджикистана для скачка по традиционным путям роста, раскрывая возможности для инклюзивного, стойкого и устойчивого экономического развития. Вероятность трудоустройства человека на цифровых рынках возрастает на более чем 13 процентов, занятость из расчета на каждое предприятие возрастает на уровне до 22 процентов, </w:t>
      </w:r>
      <w:r w:rsidR="005A1988">
        <w:rPr>
          <w:sz w:val="24"/>
          <w:szCs w:val="24"/>
          <w:lang w:val="ru-RU"/>
        </w:rPr>
        <w:t>и</w:t>
      </w:r>
      <w:r w:rsidRPr="00B90BF6">
        <w:rPr>
          <w:sz w:val="24"/>
          <w:szCs w:val="24"/>
          <w:lang w:val="ru-RU"/>
        </w:rPr>
        <w:t xml:space="preserve"> экспорт продукции </w:t>
      </w:r>
      <w:r w:rsidR="00817D62">
        <w:rPr>
          <w:sz w:val="24"/>
          <w:szCs w:val="24"/>
          <w:lang w:val="ru-RU"/>
        </w:rPr>
        <w:t>фирм (</w:t>
      </w:r>
      <w:r w:rsidRPr="00B90BF6">
        <w:rPr>
          <w:sz w:val="24"/>
          <w:szCs w:val="24"/>
          <w:lang w:val="ru-RU"/>
        </w:rPr>
        <w:t>юридических лиц</w:t>
      </w:r>
      <w:r w:rsidR="00817D62">
        <w:rPr>
          <w:sz w:val="24"/>
          <w:szCs w:val="24"/>
          <w:lang w:val="ru-RU"/>
        </w:rPr>
        <w:t>)</w:t>
      </w:r>
      <w:r w:rsidRPr="00B90BF6">
        <w:rPr>
          <w:sz w:val="24"/>
          <w:szCs w:val="24"/>
          <w:lang w:val="ru-RU"/>
        </w:rPr>
        <w:t xml:space="preserve"> возрастает почти в четыре раза. Цифровые технологии обладают потенциалом сокращения выбросов в сфере энергетики, мобильности и производства до 20 процентов к 2050 году. Кроме того, внедрение цифровых технологии может оказать трансформационное воздействие на </w:t>
      </w:r>
      <w:r w:rsidR="00635CA1">
        <w:rPr>
          <w:sz w:val="24"/>
          <w:szCs w:val="24"/>
          <w:lang w:val="ru-RU"/>
        </w:rPr>
        <w:t>П</w:t>
      </w:r>
      <w:r w:rsidRPr="00B90BF6">
        <w:rPr>
          <w:sz w:val="24"/>
          <w:szCs w:val="24"/>
          <w:lang w:val="ru-RU"/>
        </w:rPr>
        <w:t xml:space="preserve">равительство, способствуя действенности, эффективности и прозрачности предоставления государственных услуг. В соответствии с расчетами, развивающиеся экономики могут нарастить около 1 процента ВВП посредством внедрения цифровых платформ. </w:t>
      </w:r>
    </w:p>
    <w:p w14:paraId="7E5B0B4C" w14:textId="1D9B8692" w:rsidR="00B90BF6" w:rsidRPr="00B90BF6" w:rsidRDefault="00B90BF6" w:rsidP="007153BF">
      <w:pPr>
        <w:ind w:firstLine="720"/>
        <w:jc w:val="both"/>
        <w:rPr>
          <w:sz w:val="24"/>
          <w:szCs w:val="24"/>
          <w:lang w:val="ru-RU"/>
        </w:rPr>
      </w:pPr>
      <w:r w:rsidRPr="00B90BF6">
        <w:rPr>
          <w:sz w:val="24"/>
          <w:szCs w:val="24"/>
          <w:lang w:val="ru-RU"/>
        </w:rPr>
        <w:t xml:space="preserve">В контексте Республики Таджикистан, которая обладает молодым и деятельным населением, но при этом показывает низкий уровень использования цифровых технологий и цифровых навыков в регионе (где менее 5 процентов сообщают об осуществлении оплаты государственных услуг в режиме онлайн), инвестиции в цифровые основы (т.е., широкополосные каналы данных и сообщений и цифровые навыки), цифровые </w:t>
      </w:r>
      <w:r w:rsidR="002827C8">
        <w:rPr>
          <w:sz w:val="24"/>
          <w:szCs w:val="24"/>
          <w:lang w:val="ru-RU"/>
        </w:rPr>
        <w:t>средства обеспечения</w:t>
      </w:r>
      <w:r w:rsidRPr="00B90BF6">
        <w:rPr>
          <w:sz w:val="24"/>
          <w:szCs w:val="24"/>
          <w:lang w:val="ru-RU"/>
        </w:rPr>
        <w:t xml:space="preserve"> (т.е., совместимые, масштабируемые и безопасные цифровые платформы) и цифровые решения для сценариев использования и услуг с высоким уровнем воздействи</w:t>
      </w:r>
      <w:r w:rsidR="00E82608">
        <w:rPr>
          <w:sz w:val="24"/>
          <w:szCs w:val="24"/>
          <w:lang w:val="ru-RU"/>
        </w:rPr>
        <w:t>я</w:t>
      </w:r>
      <w:r w:rsidRPr="00B90BF6">
        <w:rPr>
          <w:sz w:val="24"/>
          <w:szCs w:val="24"/>
          <w:lang w:val="ru-RU"/>
        </w:rPr>
        <w:t xml:space="preserve"> при определенных масштабах могут стать трансформирующими. </w:t>
      </w:r>
    </w:p>
    <w:p w14:paraId="05CD6E5B" w14:textId="05AB433A" w:rsidR="00B90BF6" w:rsidRPr="00B90BF6" w:rsidRDefault="00B90BF6" w:rsidP="007153BF">
      <w:pPr>
        <w:ind w:firstLine="720"/>
        <w:jc w:val="both"/>
        <w:rPr>
          <w:sz w:val="24"/>
          <w:szCs w:val="24"/>
          <w:lang w:val="ru-RU"/>
        </w:rPr>
      </w:pPr>
      <w:r w:rsidRPr="00B90BF6">
        <w:rPr>
          <w:sz w:val="24"/>
          <w:szCs w:val="24"/>
          <w:lang w:val="ru-RU"/>
        </w:rPr>
        <w:t>Партнеры по КСР оказывают поддержку усили</w:t>
      </w:r>
      <w:r w:rsidR="00DE1003">
        <w:rPr>
          <w:sz w:val="24"/>
          <w:szCs w:val="24"/>
          <w:lang w:val="ru-RU"/>
        </w:rPr>
        <w:t>ям</w:t>
      </w:r>
      <w:r w:rsidRPr="00B90BF6">
        <w:rPr>
          <w:sz w:val="24"/>
          <w:szCs w:val="24"/>
          <w:lang w:val="ru-RU"/>
        </w:rPr>
        <w:t xml:space="preserve"> Правительства Республики Таджикистан в направлении привлечения внешних ресурсов для продвижения цифровой трансформации с акцентом на цифровизацию предоставления государственных услуг, переход к безналичной экономике и благоприятным цифровым решения для совершенствования управления, инноваций и экономического роста и возможностей для молодежи, женщин и уязвимых слоев населения. Решающее значение имеет обеспечение универсальности, финансовой доступности и надежности цифровых каналов связи, что в настоящее время отсутствует, так как лишь 7 процентов домохозяйств пользуются стационарным широкополосным соединением. Безналичная экономика, государственные услуги в режиме онлайн и цифровые финансовые услуги, электронная коммерция и привлечение механизмов аутсорсинга бизнес-процессов, дистанционное обучение и телемедицина не будут возможными без благоприятной финансовой и физической доступности и качества подключения к интернет. Да, это требует значительных инвестиций, но, в первую очередь, благоприятных и современных мер политики и режимов регулирования. </w:t>
      </w:r>
    </w:p>
    <w:p w14:paraId="350F4365" w14:textId="77777777" w:rsidR="00B90BF6" w:rsidRPr="00B90BF6" w:rsidRDefault="00B90BF6" w:rsidP="007153BF">
      <w:pPr>
        <w:ind w:firstLine="720"/>
        <w:jc w:val="both"/>
        <w:rPr>
          <w:sz w:val="24"/>
          <w:szCs w:val="24"/>
          <w:lang w:val="ru-RU"/>
        </w:rPr>
      </w:pPr>
      <w:r w:rsidRPr="00B90BF6">
        <w:rPr>
          <w:sz w:val="24"/>
          <w:szCs w:val="24"/>
          <w:lang w:val="ru-RU"/>
        </w:rPr>
        <w:t xml:space="preserve">КСР, в свою очередь, оказывал поддержку как в направлении инвестиций, так и в направлении повестки реформ – Но, нам необходимо достичь амбиций и решимости, требуемых НСР, в отношении модернизации нормативно-правовой базы сферы </w:t>
      </w:r>
      <w:r w:rsidRPr="00B90BF6">
        <w:rPr>
          <w:sz w:val="24"/>
          <w:szCs w:val="24"/>
          <w:lang w:val="ru-RU"/>
        </w:rPr>
        <w:lastRenderedPageBreak/>
        <w:t xml:space="preserve">телекоммуникаций, принятия полного пакета нормативно-правовых актов для реализации Закона «О защите данных» от 2018 года, разработки стратегии и законодательства в сфере кибербезопасности, внедрения законодательной базы в сфере цифровой идентификации, обновления нормативно-правовых актов в сфере цифровых банковских операций, защиты прав потребителей электронных услуг и электронной коммерции. </w:t>
      </w:r>
    </w:p>
    <w:p w14:paraId="25994539" w14:textId="14702DD2" w:rsidR="00B90BF6" w:rsidRPr="00B90BF6" w:rsidRDefault="00B90BF6" w:rsidP="0021376F">
      <w:pPr>
        <w:ind w:firstLine="720"/>
        <w:jc w:val="both"/>
        <w:rPr>
          <w:sz w:val="24"/>
          <w:szCs w:val="24"/>
          <w:lang w:val="ru-RU"/>
        </w:rPr>
      </w:pPr>
      <w:r w:rsidRPr="0021376F">
        <w:rPr>
          <w:b/>
          <w:bCs/>
          <w:sz w:val="24"/>
          <w:szCs w:val="24"/>
          <w:lang w:val="ru-RU"/>
        </w:rPr>
        <w:t xml:space="preserve">Из страны </w:t>
      </w:r>
      <w:r w:rsidR="00D842FD">
        <w:rPr>
          <w:b/>
          <w:bCs/>
          <w:sz w:val="24"/>
          <w:szCs w:val="24"/>
          <w:lang w:val="ru-RU"/>
        </w:rPr>
        <w:t>с ограниченн</w:t>
      </w:r>
      <w:r w:rsidR="00771E46">
        <w:rPr>
          <w:b/>
          <w:bCs/>
          <w:sz w:val="24"/>
          <w:szCs w:val="24"/>
          <w:lang w:val="ru-RU"/>
        </w:rPr>
        <w:t xml:space="preserve">ой свободой </w:t>
      </w:r>
      <w:r w:rsidR="00D842FD">
        <w:rPr>
          <w:b/>
          <w:bCs/>
          <w:sz w:val="24"/>
          <w:szCs w:val="24"/>
          <w:lang w:val="ru-RU"/>
        </w:rPr>
        <w:t>воздушн</w:t>
      </w:r>
      <w:r w:rsidR="00771E46">
        <w:rPr>
          <w:b/>
          <w:bCs/>
          <w:sz w:val="24"/>
          <w:szCs w:val="24"/>
          <w:lang w:val="ru-RU"/>
        </w:rPr>
        <w:t>ого пространства</w:t>
      </w:r>
      <w:r w:rsidR="00802E68">
        <w:rPr>
          <w:b/>
          <w:bCs/>
          <w:sz w:val="24"/>
          <w:szCs w:val="24"/>
          <w:lang w:val="ru-RU"/>
        </w:rPr>
        <w:t xml:space="preserve"> к</w:t>
      </w:r>
      <w:r w:rsidRPr="0021376F">
        <w:rPr>
          <w:b/>
          <w:bCs/>
          <w:sz w:val="24"/>
          <w:szCs w:val="24"/>
          <w:lang w:val="ru-RU"/>
        </w:rPr>
        <w:t xml:space="preserve"> Таджикистану с </w:t>
      </w:r>
      <w:r w:rsidRPr="00892F8F">
        <w:rPr>
          <w:b/>
          <w:bCs/>
          <w:sz w:val="24"/>
          <w:szCs w:val="24"/>
          <w:lang w:val="ru-RU"/>
        </w:rPr>
        <w:t>воздушными связями:</w:t>
      </w:r>
      <w:r w:rsidRPr="00B90BF6">
        <w:rPr>
          <w:sz w:val="24"/>
          <w:szCs w:val="24"/>
          <w:lang w:val="ru-RU"/>
        </w:rPr>
        <w:t xml:space="preserve"> Авиасообщение является приоритетным направлением Национальной стратегии развития страны на период до 2030 года, в качестве инструмента развития реального сектора экономики Таджикистана и наращивания продуктивной занятости в ресторанно-гостиничной индустрии. Тем не менее, данная отрасль остается наименее развитым сектором в регионе и </w:t>
      </w:r>
      <w:r w:rsidR="0043763E">
        <w:rPr>
          <w:sz w:val="24"/>
          <w:szCs w:val="24"/>
          <w:lang w:val="ru-RU"/>
        </w:rPr>
        <w:t xml:space="preserve">не </w:t>
      </w:r>
      <w:r w:rsidRPr="00B90BF6">
        <w:rPr>
          <w:sz w:val="24"/>
          <w:szCs w:val="24"/>
          <w:lang w:val="ru-RU"/>
        </w:rPr>
        <w:t xml:space="preserve">служит своему предназначению. Развитие сектора сдерживается ограничивающими мерами политики доступа на рынок, которые препятствуют конкуренции, слабым потенциалом для внедрения стандартов безопасности, и неэффективными мерами регулирования, которые не могут регулировать поведение монопольных поставщиков услуг (например, службы аэропортов, обслуживание пассажиров и службы обеспечения топливом), что ведет к высоким сборам </w:t>
      </w:r>
      <w:r w:rsidR="0090227F">
        <w:rPr>
          <w:sz w:val="24"/>
          <w:szCs w:val="24"/>
          <w:lang w:val="ru-RU"/>
        </w:rPr>
        <w:t>с</w:t>
      </w:r>
      <w:r w:rsidRPr="00B90BF6">
        <w:rPr>
          <w:sz w:val="24"/>
          <w:szCs w:val="24"/>
          <w:lang w:val="ru-RU"/>
        </w:rPr>
        <w:t xml:space="preserve"> пассажиров и авиакомпаний. Республика Таджикистан занимает 143-е место в Глобальном рейтинге авиасообщения </w:t>
      </w:r>
      <w:r w:rsidRPr="00B90BF6">
        <w:rPr>
          <w:sz w:val="24"/>
          <w:szCs w:val="24"/>
        </w:rPr>
        <w:t>IATA</w:t>
      </w:r>
      <w:r w:rsidRPr="00B90BF6">
        <w:rPr>
          <w:sz w:val="24"/>
          <w:szCs w:val="24"/>
          <w:lang w:val="ru-RU"/>
        </w:rPr>
        <w:t xml:space="preserve">  – самое низкое место во всем регионе ЕЦА</w:t>
      </w:r>
      <w:r w:rsidR="00CB52B2">
        <w:rPr>
          <w:sz w:val="24"/>
          <w:szCs w:val="24"/>
          <w:lang w:val="ru-RU"/>
        </w:rPr>
        <w:t xml:space="preserve"> (Европы и Центральной Азии)</w:t>
      </w:r>
      <w:r w:rsidRPr="00B90BF6">
        <w:rPr>
          <w:sz w:val="24"/>
          <w:szCs w:val="24"/>
          <w:lang w:val="ru-RU"/>
        </w:rPr>
        <w:t xml:space="preserve"> и сравнимое только с небольшими островными государствами Карибского и Тихоокеанского региона. В результате, пассажиры из Таджикистана вынуждены оплачивать большие сборы за воздушные перевозки – в среднем на 60 – 70 процентов выше, чем в таких других странах региона с полностью либерализованными секторами, как Грузия или Армения. Эти ограничения не только ведут к значительной потере благосостояния, но также и к снижению пассажиропотока. Даже частичное открытие, как предлагается партнерами по развитию в рамках политического диалога с властями страны, позволит стимулировать спрос на не менее чем 400 000 пассажиров в год. В этом направлении нам следует сделать следующее: </w:t>
      </w:r>
    </w:p>
    <w:p w14:paraId="040152C9" w14:textId="0CAB2571" w:rsidR="00B90BF6" w:rsidRPr="004766E9" w:rsidRDefault="00B90BF6" w:rsidP="004766E9">
      <w:pPr>
        <w:pStyle w:val="ListParagraph"/>
        <w:numPr>
          <w:ilvl w:val="0"/>
          <w:numId w:val="2"/>
        </w:numPr>
        <w:jc w:val="both"/>
        <w:rPr>
          <w:sz w:val="24"/>
          <w:szCs w:val="24"/>
          <w:lang w:val="ru-RU"/>
        </w:rPr>
      </w:pPr>
      <w:r w:rsidRPr="004766E9">
        <w:rPr>
          <w:sz w:val="24"/>
          <w:szCs w:val="24"/>
          <w:lang w:val="ru-RU"/>
        </w:rPr>
        <w:t xml:space="preserve">Для либерализации доступа международных авиационных услуг на рынок, Правительству страны следует принять политику «Открытого неба» без каких-либо ограничений в отношении количества авиакомпаний, размеров воздушных судов или тарифов. </w:t>
      </w:r>
    </w:p>
    <w:p w14:paraId="41D1898A" w14:textId="558594FE" w:rsidR="00B90BF6" w:rsidRPr="004766E9" w:rsidRDefault="00B90BF6" w:rsidP="004766E9">
      <w:pPr>
        <w:pStyle w:val="ListParagraph"/>
        <w:numPr>
          <w:ilvl w:val="0"/>
          <w:numId w:val="2"/>
        </w:numPr>
        <w:jc w:val="both"/>
        <w:rPr>
          <w:sz w:val="24"/>
          <w:szCs w:val="24"/>
          <w:lang w:val="ru-RU"/>
        </w:rPr>
      </w:pPr>
      <w:r w:rsidRPr="004766E9">
        <w:rPr>
          <w:sz w:val="24"/>
          <w:szCs w:val="24"/>
          <w:lang w:val="ru-RU"/>
        </w:rPr>
        <w:t>Для улучшения экономической доступности и конкурентоспособности отрасли, Правительству потребуется совершенствование экономические меры, регулирующие пассажирские сборы, совместное использование топливной инфраструктуры и инфраструктуры аэронавигационных услуг для предотвращения чрезмерной цены, определяемой доминирующими игроками рынка или естественными монополиями для пользователей (службы аэропортов, поставщики авиационного топлива).</w:t>
      </w:r>
    </w:p>
    <w:p w14:paraId="1E964688" w14:textId="6A98DABD" w:rsidR="00B90BF6" w:rsidRPr="00B90BF6" w:rsidRDefault="00B90BF6" w:rsidP="00814C41">
      <w:pPr>
        <w:ind w:firstLine="720"/>
        <w:jc w:val="both"/>
        <w:rPr>
          <w:sz w:val="24"/>
          <w:szCs w:val="24"/>
          <w:lang w:val="ru-RU"/>
        </w:rPr>
      </w:pPr>
      <w:r w:rsidRPr="00963680">
        <w:rPr>
          <w:b/>
          <w:bCs/>
          <w:sz w:val="24"/>
          <w:szCs w:val="24"/>
          <w:lang w:val="ru-RU"/>
        </w:rPr>
        <w:lastRenderedPageBreak/>
        <w:t xml:space="preserve">От страны без выхода к морю к Таджикистану с </w:t>
      </w:r>
      <w:r w:rsidR="00433A46">
        <w:rPr>
          <w:b/>
          <w:bCs/>
          <w:sz w:val="24"/>
          <w:szCs w:val="24"/>
          <w:lang w:val="ru-RU"/>
        </w:rPr>
        <w:t xml:space="preserve">развитым </w:t>
      </w:r>
      <w:r w:rsidRPr="00963680">
        <w:rPr>
          <w:b/>
          <w:bCs/>
          <w:sz w:val="24"/>
          <w:szCs w:val="24"/>
          <w:lang w:val="ru-RU"/>
        </w:rPr>
        <w:t>автодорожным сообщени</w:t>
      </w:r>
      <w:r w:rsidR="00433A46">
        <w:rPr>
          <w:b/>
          <w:bCs/>
          <w:sz w:val="24"/>
          <w:szCs w:val="24"/>
          <w:lang w:val="ru-RU"/>
        </w:rPr>
        <w:t>ем</w:t>
      </w:r>
      <w:r w:rsidRPr="00963680">
        <w:rPr>
          <w:b/>
          <w:bCs/>
          <w:sz w:val="24"/>
          <w:szCs w:val="24"/>
          <w:lang w:val="ru-RU"/>
        </w:rPr>
        <w:t>:</w:t>
      </w:r>
      <w:r w:rsidRPr="00963680">
        <w:rPr>
          <w:sz w:val="24"/>
          <w:szCs w:val="24"/>
          <w:lang w:val="ru-RU"/>
        </w:rPr>
        <w:t xml:space="preserve"> </w:t>
      </w:r>
      <w:r w:rsidRPr="00B90BF6">
        <w:rPr>
          <w:sz w:val="24"/>
          <w:szCs w:val="24"/>
          <w:lang w:val="ru-RU"/>
        </w:rPr>
        <w:t>трансформация Таджикистана из страны без выхода к морским портам к стране с автодорожным сообщением играет важную роль – это (</w:t>
      </w:r>
      <w:r w:rsidRPr="00B90BF6">
        <w:rPr>
          <w:sz w:val="24"/>
          <w:szCs w:val="24"/>
        </w:rPr>
        <w:t>i</w:t>
      </w:r>
      <w:r w:rsidRPr="00B90BF6">
        <w:rPr>
          <w:sz w:val="24"/>
          <w:szCs w:val="24"/>
          <w:lang w:val="ru-RU"/>
        </w:rPr>
        <w:t>) повышает удобство проживания в городах, (</w:t>
      </w:r>
      <w:r w:rsidRPr="00B90BF6">
        <w:rPr>
          <w:sz w:val="24"/>
          <w:szCs w:val="24"/>
        </w:rPr>
        <w:t>ii</w:t>
      </w:r>
      <w:r w:rsidRPr="00B90BF6">
        <w:rPr>
          <w:sz w:val="24"/>
          <w:szCs w:val="24"/>
          <w:lang w:val="ru-RU"/>
        </w:rPr>
        <w:t>) способствует сельскому развитию и продовольственной безопасности, и (</w:t>
      </w:r>
      <w:r w:rsidRPr="00B90BF6">
        <w:rPr>
          <w:sz w:val="24"/>
          <w:szCs w:val="24"/>
        </w:rPr>
        <w:t>iii</w:t>
      </w:r>
      <w:r w:rsidRPr="00B90BF6">
        <w:rPr>
          <w:sz w:val="24"/>
          <w:szCs w:val="24"/>
          <w:lang w:val="ru-RU"/>
        </w:rPr>
        <w:t xml:space="preserve">) позволяет устранить оставшуюся бедность и сократить неравенства. Это включает совершенствование городских служб и использование туристического потенциала страны, способствуя продуктивному сельскому хозяйству и надежному управлению природными ресурсами для решения вопроса продовольственной безопасности и инклюзивного роста в сельской местности. </w:t>
      </w:r>
    </w:p>
    <w:p w14:paraId="061C8941" w14:textId="77777777" w:rsidR="00B90BF6" w:rsidRPr="00B90BF6" w:rsidRDefault="00B90BF6" w:rsidP="001C283F">
      <w:pPr>
        <w:ind w:firstLine="720"/>
        <w:jc w:val="both"/>
        <w:rPr>
          <w:sz w:val="24"/>
          <w:szCs w:val="24"/>
          <w:lang w:val="ru-RU"/>
        </w:rPr>
      </w:pPr>
      <w:r w:rsidRPr="00B90BF6">
        <w:rPr>
          <w:sz w:val="24"/>
          <w:szCs w:val="24"/>
          <w:lang w:val="ru-RU"/>
        </w:rPr>
        <w:t>Недавняя Национальная оценка городов в Таджикистане показывает, что городское развитие может оказать содействие устранению вызовов на национальном уровне. Однако, при отсутствии стратегии, которая связывает экономическое развитие с урбанизацией, города будут ограничены в исполнении своей роли в качестве двигателей роста и основных средств формирования занятости. Частный сектор занимает центральное место в создании возможностей трудоустройства в странах, идущих по пути урбанизации, но его текущая роль в таких ключевых отраслях экономики Таджикистана, как развитие сектора недвижимости, строительство и туризм, которые связаны с наземными путями сообщений, остается ограниченной. Диверсификация экономики, возможности создания рабочих мест, а также навыки и обучение, необходимые для развития этих отраслей, могут получить выгоду от национальной стратегии урбанизации и местных планов действий, которые сделают города более конкурентоспособными в экономике, связанной наземными путями сообщения. Системы городского планирования и управления земельными ресурсами должны быть адаптированы для поддержки перехода к более конкурентоспособной городской экономике.</w:t>
      </w:r>
    </w:p>
    <w:p w14:paraId="0FCA3EC9" w14:textId="09269CD0" w:rsidR="00B90BF6" w:rsidRPr="00B90BF6" w:rsidRDefault="00B90BF6" w:rsidP="00D77160">
      <w:pPr>
        <w:ind w:firstLine="720"/>
        <w:jc w:val="both"/>
        <w:rPr>
          <w:sz w:val="24"/>
          <w:szCs w:val="24"/>
          <w:lang w:val="ru-RU"/>
        </w:rPr>
      </w:pPr>
      <w:r w:rsidRPr="00B90BF6">
        <w:rPr>
          <w:sz w:val="24"/>
          <w:szCs w:val="24"/>
          <w:lang w:val="ru-RU"/>
        </w:rPr>
        <w:t xml:space="preserve">Транспортный сектор является ключевым способствующим фактором развития, но требует значительной трансформации для должного исполнения этой роли. Одной из целей и задач Национальной стратегии развития является превращение Таджикистан в транспортных хаб, что подразумевает совершенствование путей сообщения посредством инфраструктуры, логистических центров и пограничных терминалов. Тем не менее, недостаточное обслуживание транспортной инфраструктуры и сложные топографические условия ведут к высоким транспортных издержкам и ограниченному доступу к рынкам и услугам. Отсутствие национальной программы долгосрочного пространственного развития, определяющей места расположения экономических центров, препятствует стратегическим и всеобъемлющим подходам к планированию в транспортном секторе. В масштабе городов, все еще необходимо развивать интегрированный подход к мобильности, а планирование городского землепользования и транспортное планирование не связаны. При этом, уровень автомобилизации вырос более чем в два раза в период с 2000 по 2018 годы. Проблема дорожных пробок, зачастую, решается с точки зрения автомобильного транспорта. Стимулы для наращивания немоторизованной мобильности отсутствуют, а подходы на основе «первой» и «последней» мили не рассматриваются. Эти факторы вносят </w:t>
      </w:r>
      <w:r w:rsidRPr="00B90BF6">
        <w:rPr>
          <w:sz w:val="24"/>
          <w:szCs w:val="24"/>
          <w:lang w:val="ru-RU"/>
        </w:rPr>
        <w:lastRenderedPageBreak/>
        <w:t>вклад в увеличение пробок и направляют города по пути ухудшения качества воздуха. Выбросы транспортных средств, количество которых удвоилось за последнее десятилетие, представляют собой первоочередн</w:t>
      </w:r>
      <w:r w:rsidR="00A65F2F">
        <w:rPr>
          <w:sz w:val="24"/>
          <w:szCs w:val="24"/>
          <w:lang w:val="ru-RU"/>
        </w:rPr>
        <w:t>ы</w:t>
      </w:r>
      <w:r w:rsidRPr="00B90BF6">
        <w:rPr>
          <w:sz w:val="24"/>
          <w:szCs w:val="24"/>
          <w:lang w:val="ru-RU"/>
        </w:rPr>
        <w:t xml:space="preserve">й источник загрязнения воздуха в Душанбе и других городах. Растущие темпы автомобилизации, скорее всего, приведут к усугублению этих внешних факторов, включая надлежащие меры по модернизации городского общественного транспорта. </w:t>
      </w:r>
    </w:p>
    <w:p w14:paraId="5CD75306" w14:textId="77777777" w:rsidR="00B90BF6" w:rsidRPr="00B90BF6" w:rsidRDefault="00B90BF6" w:rsidP="002A3BD3">
      <w:pPr>
        <w:ind w:firstLine="720"/>
        <w:jc w:val="both"/>
        <w:rPr>
          <w:sz w:val="24"/>
          <w:szCs w:val="24"/>
          <w:lang w:val="ru-RU"/>
        </w:rPr>
      </w:pPr>
      <w:r w:rsidRPr="00B90BF6">
        <w:rPr>
          <w:sz w:val="24"/>
          <w:szCs w:val="24"/>
          <w:lang w:val="ru-RU"/>
        </w:rPr>
        <w:t>Реформы в данных сферах являются легкодоступными с точки зрения повышения качества жизни в городах Таджикистана, и несколько партнеров готовы оказать содействие в этом направлении.</w:t>
      </w:r>
    </w:p>
    <w:p w14:paraId="4B98FB40" w14:textId="55E31F1A" w:rsidR="00B90BF6" w:rsidRPr="00B90BF6" w:rsidRDefault="00B90BF6" w:rsidP="00C6162F">
      <w:pPr>
        <w:ind w:firstLine="720"/>
        <w:jc w:val="both"/>
        <w:rPr>
          <w:sz w:val="24"/>
          <w:szCs w:val="24"/>
          <w:lang w:val="ru-RU"/>
        </w:rPr>
      </w:pPr>
      <w:r w:rsidRPr="005D3C59">
        <w:rPr>
          <w:b/>
          <w:bCs/>
          <w:sz w:val="24"/>
          <w:szCs w:val="24"/>
          <w:lang w:val="ru-RU"/>
        </w:rPr>
        <w:t>Инвестиции в человеческий капитал:</w:t>
      </w:r>
      <w:r w:rsidRPr="00B90BF6">
        <w:rPr>
          <w:sz w:val="24"/>
          <w:szCs w:val="24"/>
          <w:lang w:val="ru-RU"/>
        </w:rPr>
        <w:t xml:space="preserve"> Всего несколько недель тому назад, Правительство Республики Таджикистан принимало Международный фор</w:t>
      </w:r>
      <w:r w:rsidR="00C85375">
        <w:rPr>
          <w:sz w:val="24"/>
          <w:szCs w:val="24"/>
          <w:lang w:val="ru-RU"/>
        </w:rPr>
        <w:t>ум</w:t>
      </w:r>
      <w:r w:rsidRPr="00B90BF6">
        <w:rPr>
          <w:sz w:val="24"/>
          <w:szCs w:val="24"/>
          <w:lang w:val="ru-RU"/>
        </w:rPr>
        <w:t xml:space="preserve"> развити</w:t>
      </w:r>
      <w:r w:rsidR="00607AF3">
        <w:rPr>
          <w:sz w:val="24"/>
          <w:szCs w:val="24"/>
          <w:lang w:val="ru-RU"/>
        </w:rPr>
        <w:t>я</w:t>
      </w:r>
      <w:r w:rsidRPr="00B90BF6">
        <w:rPr>
          <w:sz w:val="24"/>
          <w:szCs w:val="24"/>
          <w:lang w:val="ru-RU"/>
        </w:rPr>
        <w:t xml:space="preserve"> человеческого капитала в Душанбе. На Форуме приняло участие более 400 участников от более чем 40 стран. Форум собрал вместе ведущих экспертов в сфере человеческого капитала со всего мира. В рамках мероприятия были подчеркнуты оптимизированные (умные) инвестиции в человеческий капитал, которые могут привести </w:t>
      </w:r>
      <w:r w:rsidR="00433E84">
        <w:rPr>
          <w:sz w:val="24"/>
          <w:szCs w:val="24"/>
          <w:lang w:val="ru-RU"/>
        </w:rPr>
        <w:t>к</w:t>
      </w:r>
      <w:r w:rsidRPr="00B90BF6">
        <w:rPr>
          <w:sz w:val="24"/>
          <w:szCs w:val="24"/>
          <w:lang w:val="ru-RU"/>
        </w:rPr>
        <w:t xml:space="preserve"> улучшенным результатам, даже с учетом существующих финансовых ресурсов, включая инновационные подходы к инвестициям в раннее детское развитие и питание. </w:t>
      </w:r>
    </w:p>
    <w:p w14:paraId="46EB9992" w14:textId="77777777" w:rsidR="00B90BF6" w:rsidRPr="00B90BF6" w:rsidRDefault="00B90BF6" w:rsidP="00D5456F">
      <w:pPr>
        <w:ind w:firstLine="720"/>
        <w:jc w:val="both"/>
        <w:rPr>
          <w:sz w:val="24"/>
          <w:szCs w:val="24"/>
          <w:lang w:val="ru-RU"/>
        </w:rPr>
      </w:pPr>
      <w:r w:rsidRPr="00B90BF6">
        <w:rPr>
          <w:sz w:val="24"/>
          <w:szCs w:val="24"/>
          <w:lang w:val="ru-RU"/>
        </w:rPr>
        <w:t xml:space="preserve">Человеческий капитал несет ответственность за почти треть разницы в доходах между развивающимися и развитыми странами. Таким образом, ничто не является более важным для будущего развития Таджикистана, чем знания, навыки и здоровье его населения, т.е., человеческий капитал страны. Инвестиции в человеческий капитал в Республике Таджикистан требуют срочных мер. Финансирование человеческого капитала более не может рассматриваться как расходы, а являются инвестициями, которые имеют решающее значение для наращивания производительности, роста и инклюзивности страны. </w:t>
      </w:r>
    </w:p>
    <w:p w14:paraId="576F4F47" w14:textId="61BC546B" w:rsidR="00B90BF6" w:rsidRPr="00B90BF6" w:rsidRDefault="00B90BF6" w:rsidP="00517633">
      <w:pPr>
        <w:ind w:firstLine="720"/>
        <w:jc w:val="both"/>
        <w:rPr>
          <w:sz w:val="24"/>
          <w:szCs w:val="24"/>
          <w:lang w:val="ru-RU"/>
        </w:rPr>
      </w:pPr>
      <w:r w:rsidRPr="00B90BF6">
        <w:rPr>
          <w:sz w:val="24"/>
          <w:szCs w:val="24"/>
          <w:lang w:val="ru-RU"/>
        </w:rPr>
        <w:t>Наращивание человеческого капитала требует унифицированных и долгосрочных усилий, затрагивающих многие отрасли и действующих лиц. Это включает взаимодействие между органами власти, гражданским обществом, глобальными финансовыми органами и частным сектором. Необходимо внести некоторые такие изменения в меры политики, как реформы эффективности в секторе здравоохранения, через например внедрение стратегических закупок, оптимизаци</w:t>
      </w:r>
      <w:r w:rsidR="00072D52">
        <w:rPr>
          <w:sz w:val="24"/>
          <w:szCs w:val="24"/>
          <w:lang w:val="ru-RU"/>
        </w:rPr>
        <w:t>ю</w:t>
      </w:r>
      <w:r w:rsidRPr="00B90BF6">
        <w:rPr>
          <w:sz w:val="24"/>
          <w:szCs w:val="24"/>
          <w:lang w:val="ru-RU"/>
        </w:rPr>
        <w:t xml:space="preserve"> размера сети предоставления услуг, включая человеческие ресурсы, с целью перенаправления акцента на рентабельную профилактическую первичную помощь (а не на дорогостоящую госпитальную помощь) и разработку нового пакета государственных гарантий, и эти реформы являются сложными с политической и технической точек зрения и больше всего требуют значительного финансирования от государственного сектора. Республика Таджикистан достигла значительного прогресса в улучшении результатов образования и здравоохранения, но все еще сталкивается с недостатками качества и равенства. Как страна с очень молодым населением, Республика Таджикистан должна воспользоваться своими демографическими </w:t>
      </w:r>
      <w:r w:rsidRPr="00B90BF6">
        <w:rPr>
          <w:sz w:val="24"/>
          <w:szCs w:val="24"/>
          <w:lang w:val="ru-RU"/>
        </w:rPr>
        <w:lastRenderedPageBreak/>
        <w:t>дивидендами. Мы уверены в том, что расширение возможностей народа Таджикистана через образование, наращивание навыков и инициатив по здравоохранению имеет решающее значение для долгосрочного процветания нации.</w:t>
      </w:r>
    </w:p>
    <w:p w14:paraId="64413D71" w14:textId="77777777" w:rsidR="00B90BF6" w:rsidRPr="00B90BF6" w:rsidRDefault="00B90BF6" w:rsidP="004963BF">
      <w:pPr>
        <w:ind w:firstLine="720"/>
        <w:jc w:val="both"/>
        <w:rPr>
          <w:sz w:val="24"/>
          <w:szCs w:val="24"/>
          <w:lang w:val="ru-RU"/>
        </w:rPr>
      </w:pPr>
      <w:r w:rsidRPr="00B90BF6">
        <w:rPr>
          <w:sz w:val="24"/>
          <w:szCs w:val="24"/>
          <w:lang w:val="ru-RU"/>
        </w:rPr>
        <w:t>Необходимы дополнительные усилия для продвижения Интегрированной системы социальной защиты со связями с социальной помощью, социальным страхованием (пенсиями), рынками труда и социальными службами, а также для развития кадровых ресурсов системы социальной защиты с надлежащими навыками и потенциалом, и обеспечения наличия финансовой стратегии для устойчивого финансирования социальной защиты.</w:t>
      </w:r>
    </w:p>
    <w:p w14:paraId="35DF1269" w14:textId="462EB3E6" w:rsidR="00B90BF6" w:rsidRPr="00B90BF6" w:rsidRDefault="00B90BF6" w:rsidP="00D87613">
      <w:pPr>
        <w:ind w:firstLine="720"/>
        <w:jc w:val="both"/>
        <w:rPr>
          <w:sz w:val="24"/>
          <w:szCs w:val="24"/>
          <w:lang w:val="ru-RU"/>
        </w:rPr>
      </w:pPr>
      <w:r w:rsidRPr="00B90BF6">
        <w:rPr>
          <w:sz w:val="24"/>
          <w:szCs w:val="24"/>
          <w:lang w:val="ru-RU"/>
        </w:rPr>
        <w:t>Более того, смотря в будущее, наше внимание будет направлено на ускорение и устранение возникающих вызовов. Мы сохраняем приверженность к оказанию поддержки Республике Таджикистан на ее пути в направлении достижения целей, предусмотренных в Национальной стратегии развития и Среднесрочной программе развития на 2021 – 2025 годы.</w:t>
      </w:r>
      <w:r w:rsidR="004D0617">
        <w:rPr>
          <w:sz w:val="24"/>
          <w:szCs w:val="24"/>
          <w:lang w:val="ru-RU"/>
        </w:rPr>
        <w:t xml:space="preserve"> </w:t>
      </w:r>
    </w:p>
    <w:p w14:paraId="49D2115F" w14:textId="700BFBAB" w:rsidR="00B90BF6" w:rsidRPr="00B90BF6" w:rsidRDefault="00B90BF6" w:rsidP="004D0617">
      <w:pPr>
        <w:ind w:firstLine="720"/>
        <w:jc w:val="both"/>
        <w:rPr>
          <w:sz w:val="24"/>
          <w:szCs w:val="24"/>
          <w:lang w:val="ru-RU"/>
        </w:rPr>
      </w:pPr>
      <w:r w:rsidRPr="00B90BF6">
        <w:rPr>
          <w:sz w:val="24"/>
          <w:szCs w:val="24"/>
          <w:lang w:val="ru-RU"/>
        </w:rPr>
        <w:t>Мы будем продолжать тесное сотрудничество с Правительством и всеми партнерами по развитию для обеспечения того, что</w:t>
      </w:r>
      <w:r w:rsidR="00420AEB">
        <w:rPr>
          <w:sz w:val="24"/>
          <w:szCs w:val="24"/>
          <w:lang w:val="ru-RU"/>
        </w:rPr>
        <w:t>бы</w:t>
      </w:r>
      <w:r w:rsidRPr="00B90BF6">
        <w:rPr>
          <w:sz w:val="24"/>
          <w:szCs w:val="24"/>
          <w:lang w:val="ru-RU"/>
        </w:rPr>
        <w:t xml:space="preserve"> наши интервенции </w:t>
      </w:r>
      <w:r w:rsidR="00AA1810">
        <w:rPr>
          <w:sz w:val="24"/>
          <w:szCs w:val="24"/>
          <w:lang w:val="ru-RU"/>
        </w:rPr>
        <w:t>были</w:t>
      </w:r>
      <w:r w:rsidRPr="00B90BF6">
        <w:rPr>
          <w:sz w:val="24"/>
          <w:szCs w:val="24"/>
          <w:lang w:val="ru-RU"/>
        </w:rPr>
        <w:t xml:space="preserve"> стратегическими, скоординированными и направленными на растущие потребности страны. Мы готовы оказывать поддержку Республике Таджикистан в реализации их планов по развитию. Вместе, мы можем построить более светлое, более устойчивое будущее для всех жителей Таджикистана.</w:t>
      </w:r>
      <w:r w:rsidR="00420AEB">
        <w:rPr>
          <w:sz w:val="24"/>
          <w:szCs w:val="24"/>
          <w:lang w:val="ru-RU"/>
        </w:rPr>
        <w:t xml:space="preserve"> </w:t>
      </w:r>
    </w:p>
    <w:p w14:paraId="52A3F786" w14:textId="5C0BB1CB" w:rsidR="004D1E52" w:rsidRPr="00B90BF6" w:rsidRDefault="00B90BF6" w:rsidP="00765ED1">
      <w:pPr>
        <w:ind w:firstLine="720"/>
        <w:jc w:val="both"/>
        <w:rPr>
          <w:sz w:val="24"/>
          <w:szCs w:val="24"/>
          <w:lang w:val="ru-RU"/>
        </w:rPr>
      </w:pPr>
      <w:r w:rsidRPr="00B90BF6">
        <w:rPr>
          <w:sz w:val="24"/>
          <w:szCs w:val="24"/>
          <w:lang w:val="ru-RU"/>
        </w:rPr>
        <w:t xml:space="preserve">Благодарю Вас за внимание и ожидаю с нетерпением </w:t>
      </w:r>
      <w:r w:rsidR="00317E01">
        <w:rPr>
          <w:sz w:val="24"/>
          <w:szCs w:val="24"/>
          <w:lang w:val="ru-RU"/>
        </w:rPr>
        <w:t>продуктивных</w:t>
      </w:r>
      <w:r w:rsidRPr="00B90BF6">
        <w:rPr>
          <w:sz w:val="24"/>
          <w:szCs w:val="24"/>
          <w:lang w:val="ru-RU"/>
        </w:rPr>
        <w:t xml:space="preserve"> обсуждений впереди.</w:t>
      </w:r>
    </w:p>
    <w:sectPr w:rsidR="004D1E52" w:rsidRPr="00B90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6E4"/>
    <w:multiLevelType w:val="hybridMultilevel"/>
    <w:tmpl w:val="0C6C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C0D90"/>
    <w:multiLevelType w:val="hybridMultilevel"/>
    <w:tmpl w:val="17382A2E"/>
    <w:lvl w:ilvl="0" w:tplc="75D4B78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D23954"/>
    <w:multiLevelType w:val="hybridMultilevel"/>
    <w:tmpl w:val="3578C262"/>
    <w:lvl w:ilvl="0" w:tplc="75D4B78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122777">
    <w:abstractNumId w:val="0"/>
  </w:num>
  <w:num w:numId="2" w16cid:durableId="1970235933">
    <w:abstractNumId w:val="1"/>
  </w:num>
  <w:num w:numId="3" w16cid:durableId="1933512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F6"/>
    <w:rsid w:val="00021BAD"/>
    <w:rsid w:val="00072D52"/>
    <w:rsid w:val="00090595"/>
    <w:rsid w:val="001C283F"/>
    <w:rsid w:val="0021376F"/>
    <w:rsid w:val="002732CF"/>
    <w:rsid w:val="002827C8"/>
    <w:rsid w:val="00287921"/>
    <w:rsid w:val="002A3BD3"/>
    <w:rsid w:val="003041C0"/>
    <w:rsid w:val="00317E01"/>
    <w:rsid w:val="003C0BE9"/>
    <w:rsid w:val="00420AEB"/>
    <w:rsid w:val="004308DA"/>
    <w:rsid w:val="00433A46"/>
    <w:rsid w:val="00433E84"/>
    <w:rsid w:val="00434F28"/>
    <w:rsid w:val="0043763E"/>
    <w:rsid w:val="004766E9"/>
    <w:rsid w:val="004963BF"/>
    <w:rsid w:val="004D0617"/>
    <w:rsid w:val="004D1E52"/>
    <w:rsid w:val="004F4245"/>
    <w:rsid w:val="00517633"/>
    <w:rsid w:val="005A1988"/>
    <w:rsid w:val="005D3C59"/>
    <w:rsid w:val="005F10C2"/>
    <w:rsid w:val="005F2A63"/>
    <w:rsid w:val="00607AF3"/>
    <w:rsid w:val="00635CA1"/>
    <w:rsid w:val="00690769"/>
    <w:rsid w:val="007153BF"/>
    <w:rsid w:val="00765ED1"/>
    <w:rsid w:val="00771E46"/>
    <w:rsid w:val="00802E68"/>
    <w:rsid w:val="00814C41"/>
    <w:rsid w:val="00817D62"/>
    <w:rsid w:val="00892F8F"/>
    <w:rsid w:val="008F24CE"/>
    <w:rsid w:val="0090227F"/>
    <w:rsid w:val="0095151B"/>
    <w:rsid w:val="00963680"/>
    <w:rsid w:val="009B0C13"/>
    <w:rsid w:val="00A65F2F"/>
    <w:rsid w:val="00AA1810"/>
    <w:rsid w:val="00AF237F"/>
    <w:rsid w:val="00B90BF6"/>
    <w:rsid w:val="00C04080"/>
    <w:rsid w:val="00C21F8C"/>
    <w:rsid w:val="00C6162F"/>
    <w:rsid w:val="00C85375"/>
    <w:rsid w:val="00C915D8"/>
    <w:rsid w:val="00CB52B2"/>
    <w:rsid w:val="00CB5378"/>
    <w:rsid w:val="00D432D8"/>
    <w:rsid w:val="00D5456F"/>
    <w:rsid w:val="00D77160"/>
    <w:rsid w:val="00D842FD"/>
    <w:rsid w:val="00D87613"/>
    <w:rsid w:val="00DE1003"/>
    <w:rsid w:val="00E82608"/>
    <w:rsid w:val="00F4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2A39"/>
  <w15:chartTrackingRefBased/>
  <w15:docId w15:val="{89D940C7-B5F2-4A9D-A016-EE5949E6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04080"/>
    <w:pPr>
      <w:spacing w:after="0" w:line="240" w:lineRule="auto"/>
    </w:pPr>
  </w:style>
  <w:style w:type="paragraph" w:styleId="ListParagraph">
    <w:name w:val="List Paragraph"/>
    <w:basedOn w:val="Normal"/>
    <w:uiPriority w:val="34"/>
    <w:qFormat/>
    <w:rsid w:val="00D43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3241</Words>
  <Characters>18479</Characters>
  <Application>Microsoft Office Word</Application>
  <DocSecurity>0</DocSecurity>
  <Lines>153</Lines>
  <Paragraphs>43</Paragraphs>
  <ScaleCrop>false</ScaleCrop>
  <Company>WBG</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 Rajabboev</dc:creator>
  <cp:keywords/>
  <dc:description/>
  <cp:lastModifiedBy>Nargis Es</cp:lastModifiedBy>
  <cp:revision>3</cp:revision>
  <dcterms:created xsi:type="dcterms:W3CDTF">2024-06-08T08:24:00Z</dcterms:created>
  <dcterms:modified xsi:type="dcterms:W3CDTF">2024-06-08T08:33:00Z</dcterms:modified>
</cp:coreProperties>
</file>